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91" w:rsidRPr="00504178" w:rsidRDefault="00876F91" w:rsidP="00876F91">
      <w:pPr>
        <w:widowControl/>
        <w:shd w:val="clear" w:color="auto" w:fill="FFFFFF"/>
        <w:spacing w:before="300" w:after="300" w:line="600" w:lineRule="atLeast"/>
        <w:jc w:val="left"/>
        <w:outlineLvl w:val="3"/>
        <w:rPr>
          <w:rFonts w:ascii="inherit" w:eastAsia="宋体" w:hAnsi="inherit" w:cs="Arial" w:hint="eastAsia"/>
          <w:color w:val="2C3E50"/>
          <w:kern w:val="0"/>
          <w:sz w:val="32"/>
          <w:szCs w:val="32"/>
        </w:rPr>
      </w:pPr>
      <w:r w:rsidRPr="00504178">
        <w:rPr>
          <w:rFonts w:ascii="inherit" w:eastAsia="宋体" w:hAnsi="inherit" w:cs="Arial"/>
          <w:color w:val="2C3E50"/>
          <w:kern w:val="0"/>
          <w:sz w:val="32"/>
          <w:szCs w:val="32"/>
        </w:rPr>
        <w:t>如何编写策略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 w:rsidRPr="00504178">
        <w:rPr>
          <w:rFonts w:ascii="Helvetica" w:eastAsia="宋体" w:hAnsi="Helvetica" w:cs="Arial"/>
          <w:color w:val="2C3E50"/>
          <w:kern w:val="0"/>
          <w:sz w:val="24"/>
          <w:szCs w:val="24"/>
        </w:rPr>
        <w:t>策略算法具体描述了进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行量化交易的信号生成条件和订单委托方法，是进行量化研究和量化</w:t>
      </w:r>
      <w:r w:rsidRPr="00504178">
        <w:rPr>
          <w:rFonts w:ascii="Helvetica" w:eastAsia="宋体" w:hAnsi="Helvetica" w:cs="Arial"/>
          <w:color w:val="2C3E50"/>
          <w:kern w:val="0"/>
          <w:sz w:val="24"/>
          <w:szCs w:val="24"/>
        </w:rPr>
        <w:t>交易的基础。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每个策略都是一个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python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类，策略的参数和状态变量就是这个策略类的类成员。</w:t>
      </w:r>
    </w:p>
    <w:p w:rsidR="00876F91" w:rsidRDefault="00876F91" w:rsidP="00876F91">
      <w:pPr>
        <w:pStyle w:val="a7"/>
        <w:widowControl/>
        <w:numPr>
          <w:ilvl w:val="0"/>
          <w:numId w:val="1"/>
        </w:numPr>
        <w:shd w:val="clear" w:color="auto" w:fill="FFFFFF"/>
        <w:spacing w:before="150" w:after="150" w:line="405" w:lineRule="atLeast"/>
        <w:ind w:firstLineChars="0"/>
        <w:jc w:val="left"/>
        <w:rPr>
          <w:rFonts w:ascii="Helvetica" w:eastAsia="宋体" w:hAnsi="Helvetica" w:cs="Arial"/>
          <w:color w:val="2C3E50"/>
          <w:kern w:val="0"/>
          <w:sz w:val="32"/>
          <w:szCs w:val="32"/>
        </w:rPr>
      </w:pPr>
      <w:r w:rsidRPr="00BA61F6">
        <w:rPr>
          <w:rFonts w:ascii="Helvetica" w:eastAsia="宋体" w:hAnsi="Helvetica" w:cs="Arial" w:hint="eastAsia"/>
          <w:color w:val="2C3E50"/>
          <w:kern w:val="0"/>
          <w:sz w:val="32"/>
          <w:szCs w:val="32"/>
        </w:rPr>
        <w:t>策略参数</w:t>
      </w:r>
      <w:r>
        <w:rPr>
          <w:rFonts w:ascii="Helvetica" w:eastAsia="宋体" w:hAnsi="Helvetica" w:cs="Arial" w:hint="eastAsia"/>
          <w:color w:val="2C3E50"/>
          <w:kern w:val="0"/>
          <w:sz w:val="32"/>
          <w:szCs w:val="32"/>
        </w:rPr>
        <w:t>和状态变量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32"/>
          <w:szCs w:val="32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32"/>
          <w:szCs w:val="32"/>
        </w:rPr>
        <w:drawing>
          <wp:inline distT="0" distB="0" distL="0" distR="0" wp14:anchorId="2D33948B" wp14:editId="2ED659C3">
            <wp:extent cx="4693920" cy="3466175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24" cy="34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Pr="0011038D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32"/>
          <w:szCs w:val="32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32"/>
          <w:szCs w:val="32"/>
        </w:rPr>
        <w:lastRenderedPageBreak/>
        <w:drawing>
          <wp:inline distT="0" distB="0" distL="0" distR="0" wp14:anchorId="703E4955" wp14:editId="20902443">
            <wp:extent cx="3200400" cy="3574640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48" cy="35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pStyle w:val="a7"/>
        <w:widowControl/>
        <w:shd w:val="clear" w:color="auto" w:fill="FFFFFF"/>
        <w:spacing w:before="150" w:after="150" w:line="405" w:lineRule="atLeast"/>
        <w:ind w:firstLineChars="0" w:firstLine="0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 w:rsidRPr="00BA61F6"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策略的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参数由策略类的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paramList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变量定义，</w:t>
      </w:r>
      <w:r w:rsidRPr="00BA61F6"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</w:t>
      </w:r>
      <w:r w:rsidR="00FA46E8"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变量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由策略类的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varList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变量定义。</w:t>
      </w:r>
    </w:p>
    <w:p w:rsidR="00876F91" w:rsidRPr="00FE3B3F" w:rsidRDefault="00876F91" w:rsidP="00876F91">
      <w:pPr>
        <w:pStyle w:val="a7"/>
        <w:widowControl/>
        <w:shd w:val="clear" w:color="auto" w:fill="FFFFFF"/>
        <w:spacing w:before="150" w:after="150" w:line="405" w:lineRule="atLeast"/>
        <w:ind w:firstLineChars="0" w:firstLine="0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每一个策略参数都可以动态修改，每一个策略变量都会根据策略的运行，动态改变</w:t>
      </w:r>
    </w:p>
    <w:p w:rsidR="00876F91" w:rsidRPr="00BA61F6" w:rsidRDefault="00876F91" w:rsidP="00876F91">
      <w:pPr>
        <w:pStyle w:val="a7"/>
        <w:widowControl/>
        <w:numPr>
          <w:ilvl w:val="0"/>
          <w:numId w:val="1"/>
        </w:numPr>
        <w:shd w:val="clear" w:color="auto" w:fill="FFFFFF"/>
        <w:spacing w:before="150" w:after="150" w:line="405" w:lineRule="atLeast"/>
        <w:ind w:firstLineChars="0"/>
        <w:jc w:val="left"/>
        <w:rPr>
          <w:rFonts w:ascii="Helvetica" w:eastAsia="宋体" w:hAnsi="Helvetica" w:cs="Arial"/>
          <w:color w:val="2C3E50"/>
          <w:kern w:val="0"/>
          <w:sz w:val="32"/>
          <w:szCs w:val="32"/>
        </w:rPr>
      </w:pPr>
      <w:r w:rsidRPr="00BA61F6">
        <w:rPr>
          <w:rFonts w:ascii="Helvetica" w:eastAsia="宋体" w:hAnsi="Helvetica" w:cs="Arial" w:hint="eastAsia"/>
          <w:color w:val="2C3E50"/>
          <w:kern w:val="0"/>
          <w:sz w:val="32"/>
          <w:szCs w:val="32"/>
        </w:rPr>
        <w:t>策略主体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策略的主体框架由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onBar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onOrder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onTrade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四个成员函数实现。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：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6D8FA733" wp14:editId="3B0E302F">
            <wp:extent cx="5323263" cy="24231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91" cy="24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lastRenderedPageBreak/>
        <w:t>行情接口每收到一次相应合约的行情信息，都会调用策略的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函数。你可以根据收到的行情，在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函数中计算相应的买入卖出信号。</w:t>
      </w: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T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数据结构如下：</w:t>
      </w: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 w:rsidRPr="00C14F85">
        <w:rPr>
          <w:rFonts w:ascii="Helvetica" w:eastAsia="宋体" w:hAnsi="Helvetica" w:cs="Arial"/>
          <w:noProof/>
          <w:color w:val="2C3E50"/>
          <w:kern w:val="0"/>
          <w:sz w:val="24"/>
          <w:szCs w:val="24"/>
        </w:rPr>
        <w:drawing>
          <wp:inline distT="0" distB="0" distL="0" distR="0">
            <wp:extent cx="5412937" cy="6137031"/>
            <wp:effectExtent l="0" t="0" r="0" b="0"/>
            <wp:docPr id="3" name="图片 3" descr="C:\Users\weibb\AppData\Local\Temp\15108186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ibb\AppData\Local\Temp\151081861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14" cy="61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</w:pP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onBar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：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2A5B6134" wp14:editId="0EACD179">
            <wp:extent cx="5273040" cy="3710940"/>
            <wp:effectExtent l="0" t="0" r="381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每次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onTick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函数被调用以后，您可以根据自己的时间要求，每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N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个时间周期调用一次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onBar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函数，进行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线处理。</w:t>
      </w: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线结构如下：</w:t>
      </w:r>
    </w:p>
    <w:p w:rsidR="00C14F85" w:rsidRDefault="00C14F85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3342E31" wp14:editId="693ECB17">
            <wp:extent cx="4161692" cy="30348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6628" cy="303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lastRenderedPageBreak/>
        <w:t>onOrder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：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16ECD0AC" wp14:editId="160E156D">
            <wp:extent cx="5273040" cy="2476500"/>
            <wp:effectExtent l="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策略每次下单委托后，这个函数都会收到委托回报。您可以根据委托回报进行撤单，追单等操作。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onTrade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：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3558C041" wp14:editId="28D4464C">
            <wp:extent cx="5273040" cy="2857500"/>
            <wp:effectExtent l="0" t="0" r="381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策略每次下单成交后，这个函数都会收到成交回报。您可以根据成交回报计算你的持仓成本和仓位。</w:t>
      </w:r>
    </w:p>
    <w:p w:rsidR="00876F91" w:rsidRPr="00FE3B3F" w:rsidRDefault="00876F91" w:rsidP="00876F91">
      <w:pPr>
        <w:pStyle w:val="a7"/>
        <w:widowControl/>
        <w:numPr>
          <w:ilvl w:val="0"/>
          <w:numId w:val="1"/>
        </w:numPr>
        <w:shd w:val="clear" w:color="auto" w:fill="FFFFFF"/>
        <w:spacing w:before="150" w:after="150" w:line="405" w:lineRule="atLeast"/>
        <w:ind w:firstLineChars="0"/>
        <w:jc w:val="left"/>
        <w:rPr>
          <w:rFonts w:ascii="Helvetica" w:eastAsia="宋体" w:hAnsi="Helvetica" w:cs="Arial"/>
          <w:color w:val="2C3E50"/>
          <w:kern w:val="0"/>
          <w:sz w:val="32"/>
          <w:szCs w:val="32"/>
        </w:rPr>
      </w:pPr>
      <w:r w:rsidRPr="00FE3B3F">
        <w:rPr>
          <w:rFonts w:ascii="Helvetica" w:eastAsia="宋体" w:hAnsi="Helvetica" w:cs="Arial" w:hint="eastAsia"/>
          <w:color w:val="2C3E50"/>
          <w:kern w:val="0"/>
          <w:sz w:val="32"/>
          <w:szCs w:val="32"/>
        </w:rPr>
        <w:t>发单函数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策略发单可以通过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short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buy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cover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sell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函数实现，这四个函数定义如下：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##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卖出开仓函数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/>
          <w:noProof/>
          <w:color w:val="2C3E50"/>
          <w:kern w:val="0"/>
          <w:sz w:val="24"/>
          <w:szCs w:val="24"/>
        </w:rPr>
        <w:lastRenderedPageBreak/>
        <w:drawing>
          <wp:inline distT="0" distB="0" distL="0" distR="0" wp14:anchorId="72998C6D" wp14:editId="07AD21FE">
            <wp:extent cx="3352800" cy="59436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##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买入开仓函数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17FDD26F" wp14:editId="7F7EB8E6">
            <wp:extent cx="3314700" cy="5791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##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买入平仓函数</w:t>
      </w:r>
    </w:p>
    <w:p w:rsidR="00876F91" w:rsidRPr="00D548C9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noProof/>
          <w:color w:val="2C3E50"/>
          <w:kern w:val="0"/>
          <w:sz w:val="24"/>
          <w:szCs w:val="24"/>
        </w:rPr>
        <w:drawing>
          <wp:inline distT="0" distB="0" distL="0" distR="0" wp14:anchorId="3B8841D2" wp14:editId="7551EF46">
            <wp:extent cx="3257550" cy="5791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35" cy="5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##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卖出平仓函数</w:t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/>
          <w:noProof/>
          <w:color w:val="2C3E50"/>
          <w:kern w:val="0"/>
          <w:sz w:val="24"/>
          <w:szCs w:val="24"/>
        </w:rPr>
        <w:drawing>
          <wp:inline distT="0" distB="0" distL="0" distR="0" wp14:anchorId="63555666" wp14:editId="5BE07E90">
            <wp:extent cx="3284220" cy="624840"/>
            <wp:effectExtent l="0" t="0" r="0" b="381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1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目前，调用这些函数都会对策略的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vtSymbol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变量中保存的合约发单。</w:t>
      </w:r>
    </w:p>
    <w:p w:rsidR="00876F91" w:rsidRPr="003E281B" w:rsidRDefault="00876F91" w:rsidP="00876F91">
      <w:pPr>
        <w:widowControl/>
        <w:shd w:val="clear" w:color="auto" w:fill="FFFFFF"/>
        <w:spacing w:before="150" w:after="150" w:line="405" w:lineRule="atLeast"/>
        <w:jc w:val="left"/>
        <w:rPr>
          <w:rFonts w:ascii="Helvetica" w:eastAsia="宋体" w:hAnsi="Helvetica" w:cs="Arial"/>
          <w:color w:val="2C3E50"/>
          <w:kern w:val="0"/>
          <w:sz w:val="24"/>
          <w:szCs w:val="24"/>
        </w:rPr>
      </w:pP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策略的模板中还支持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FAK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FOK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报单，对应的函数分别为：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short_fak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buy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_fak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cover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_fak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sell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_fak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short_fok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buy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cover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k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，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sell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_f</w:t>
      </w:r>
      <w:r>
        <w:rPr>
          <w:rFonts w:ascii="Helvetica" w:eastAsia="宋体" w:hAnsi="Helvetica" w:cs="Arial" w:hint="eastAsia"/>
          <w:color w:val="2C3E50"/>
          <w:kern w:val="0"/>
          <w:sz w:val="24"/>
          <w:szCs w:val="24"/>
        </w:rPr>
        <w:t>o</w:t>
      </w:r>
      <w:r>
        <w:rPr>
          <w:rFonts w:ascii="Helvetica" w:eastAsia="宋体" w:hAnsi="Helvetica" w:cs="Arial"/>
          <w:color w:val="2C3E50"/>
          <w:kern w:val="0"/>
          <w:sz w:val="24"/>
          <w:szCs w:val="24"/>
        </w:rPr>
        <w:t>k</w:t>
      </w:r>
    </w:p>
    <w:p w:rsidR="004A5CEB" w:rsidRPr="00876F91" w:rsidRDefault="004A5CEB"/>
    <w:sectPr w:rsidR="004A5CEB" w:rsidRPr="0087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B4" w:rsidRDefault="000153B4" w:rsidP="00876F91">
      <w:r>
        <w:separator/>
      </w:r>
    </w:p>
  </w:endnote>
  <w:endnote w:type="continuationSeparator" w:id="0">
    <w:p w:rsidR="000153B4" w:rsidRDefault="000153B4" w:rsidP="008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B4" w:rsidRDefault="000153B4" w:rsidP="00876F91">
      <w:r>
        <w:separator/>
      </w:r>
    </w:p>
  </w:footnote>
  <w:footnote w:type="continuationSeparator" w:id="0">
    <w:p w:rsidR="000153B4" w:rsidRDefault="000153B4" w:rsidP="0087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0752"/>
    <w:multiLevelType w:val="hybridMultilevel"/>
    <w:tmpl w:val="D768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C0"/>
    <w:rsid w:val="00000C32"/>
    <w:rsid w:val="000153B4"/>
    <w:rsid w:val="004A5CEB"/>
    <w:rsid w:val="004F200C"/>
    <w:rsid w:val="00594A8F"/>
    <w:rsid w:val="00876F91"/>
    <w:rsid w:val="00965DC0"/>
    <w:rsid w:val="00C14F85"/>
    <w:rsid w:val="00CD529F"/>
    <w:rsid w:val="00D07C66"/>
    <w:rsid w:val="00F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3CDB"/>
  <w15:chartTrackingRefBased/>
  <w15:docId w15:val="{54FB7A16-0DA8-40A0-BFDD-BE43BF7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F91"/>
    <w:rPr>
      <w:sz w:val="18"/>
      <w:szCs w:val="18"/>
    </w:rPr>
  </w:style>
  <w:style w:type="paragraph" w:styleId="a7">
    <w:name w:val="List Paragraph"/>
    <w:basedOn w:val="a"/>
    <w:uiPriority w:val="34"/>
    <w:qFormat/>
    <w:rsid w:val="00876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魏斌斌</dc:creator>
  <cp:keywords/>
  <dc:description/>
  <cp:lastModifiedBy>魏斌斌</cp:lastModifiedBy>
  <cp:revision>5</cp:revision>
  <dcterms:created xsi:type="dcterms:W3CDTF">2017-08-15T01:18:00Z</dcterms:created>
  <dcterms:modified xsi:type="dcterms:W3CDTF">2017-11-16T07:51:00Z</dcterms:modified>
</cp:coreProperties>
</file>